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3AC" w:rsidRDefault="008E1FFC">
      <w:pPr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inline distT="0" distB="0" distL="0" distR="0">
            <wp:extent cx="1169035" cy="1169035"/>
            <wp:effectExtent l="25400" t="0" r="0" b="0"/>
            <wp:docPr id="2" name="Picture 0" descr="0.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0.Logo 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1922" cy="117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3AC" w:rsidRDefault="00B903AC">
      <w:pPr>
        <w:rPr>
          <w:b/>
          <w:sz w:val="24"/>
        </w:rPr>
      </w:pPr>
    </w:p>
    <w:p w:rsidR="00B903AC" w:rsidRDefault="008E1FFC">
      <w:pPr>
        <w:rPr>
          <w:b/>
          <w:sz w:val="24"/>
        </w:rPr>
      </w:pPr>
      <w:r>
        <w:rPr>
          <w:b/>
          <w:sz w:val="24"/>
        </w:rPr>
        <w:t xml:space="preserve">Band on the Wall </w:t>
      </w:r>
    </w:p>
    <w:p w:rsidR="00B903AC" w:rsidRDefault="00B903AC">
      <w:pPr>
        <w:rPr>
          <w:b/>
          <w:sz w:val="24"/>
        </w:rPr>
      </w:pPr>
    </w:p>
    <w:p w:rsidR="00B903AC" w:rsidRDefault="008E1FFC">
      <w:pPr>
        <w:rPr>
          <w:b/>
          <w:sz w:val="24"/>
        </w:rPr>
      </w:pPr>
      <w:r>
        <w:rPr>
          <w:b/>
          <w:sz w:val="24"/>
        </w:rPr>
        <w:t>Job Description</w:t>
      </w:r>
    </w:p>
    <w:p w:rsidR="00B903AC" w:rsidRDefault="00B903AC">
      <w:pPr>
        <w:rPr>
          <w:b/>
          <w:sz w:val="24"/>
        </w:rPr>
      </w:pPr>
    </w:p>
    <w:p w:rsidR="00B903AC" w:rsidRDefault="008E1FFC">
      <w:pPr>
        <w:rPr>
          <w:rFonts w:cs="Century Gothic"/>
          <w:b/>
          <w:bCs/>
          <w:sz w:val="24"/>
          <w:u w:val="single"/>
        </w:rPr>
      </w:pPr>
      <w:r>
        <w:rPr>
          <w:rFonts w:cs="Century Gothic"/>
          <w:b/>
          <w:bCs/>
          <w:sz w:val="24"/>
          <w:u w:val="single"/>
        </w:rPr>
        <w:t>OUTLINE TERMS &amp; CONDITIONS</w:t>
      </w:r>
    </w:p>
    <w:p w:rsidR="00B903AC" w:rsidRDefault="00B903AC">
      <w:pPr>
        <w:rPr>
          <w:b/>
          <w:sz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7"/>
        <w:gridCol w:w="5895"/>
      </w:tblGrid>
      <w:tr w:rsidR="00B903AC">
        <w:tc>
          <w:tcPr>
            <w:tcW w:w="3427" w:type="dxa"/>
          </w:tcPr>
          <w:p w:rsidR="00B903AC" w:rsidRDefault="008E1FFC">
            <w:pPr>
              <w:rPr>
                <w:rFonts w:cs="Century Gothic"/>
                <w:b/>
                <w:sz w:val="24"/>
              </w:rPr>
            </w:pPr>
            <w:r>
              <w:rPr>
                <w:rFonts w:cs="Century Gothic"/>
                <w:b/>
                <w:sz w:val="24"/>
              </w:rPr>
              <w:t>A</w:t>
            </w:r>
            <w:r>
              <w:rPr>
                <w:rFonts w:cs="Century Gothic"/>
                <w:b/>
                <w:sz w:val="24"/>
              </w:rPr>
              <w:tab/>
              <w:t>JOB TITLE</w:t>
            </w:r>
            <w:r>
              <w:rPr>
                <w:rFonts w:cs="Century Gothic"/>
                <w:sz w:val="24"/>
              </w:rPr>
              <w:t>:</w:t>
            </w:r>
          </w:p>
        </w:tc>
        <w:tc>
          <w:tcPr>
            <w:tcW w:w="5895" w:type="dxa"/>
          </w:tcPr>
          <w:p w:rsidR="00B903AC" w:rsidRDefault="008E1FFC">
            <w:pPr>
              <w:rPr>
                <w:rFonts w:cs="Century Gothic"/>
                <w:sz w:val="24"/>
              </w:rPr>
            </w:pPr>
            <w:r>
              <w:rPr>
                <w:rFonts w:cs="Century Gothic"/>
                <w:sz w:val="24"/>
              </w:rPr>
              <w:t>Chief Executive Support</w:t>
            </w:r>
            <w:r w:rsidR="00410A2D">
              <w:rPr>
                <w:rFonts w:cs="Century Gothic"/>
                <w:sz w:val="24"/>
              </w:rPr>
              <w:t xml:space="preserve">, </w:t>
            </w:r>
            <w:r w:rsidR="004E01E8">
              <w:rPr>
                <w:rFonts w:cs="Century Gothic"/>
                <w:sz w:val="24"/>
              </w:rPr>
              <w:t xml:space="preserve">‘Keep on Moving’ project, </w:t>
            </w:r>
            <w:r w:rsidR="00410A2D">
              <w:rPr>
                <w:rFonts w:cs="Century Gothic"/>
                <w:sz w:val="24"/>
              </w:rPr>
              <w:t xml:space="preserve">freelance </w:t>
            </w:r>
          </w:p>
          <w:p w:rsidR="00410A2D" w:rsidRPr="00410A2D" w:rsidRDefault="00410A2D">
            <w:pPr>
              <w:rPr>
                <w:rFonts w:cs="Century Gothic"/>
                <w:sz w:val="24"/>
              </w:rPr>
            </w:pPr>
          </w:p>
        </w:tc>
      </w:tr>
      <w:tr w:rsidR="00B903AC">
        <w:tc>
          <w:tcPr>
            <w:tcW w:w="3427" w:type="dxa"/>
          </w:tcPr>
          <w:p w:rsidR="00B903AC" w:rsidRDefault="008E1FFC">
            <w:pPr>
              <w:rPr>
                <w:rFonts w:cs="Century Gothic"/>
                <w:b/>
                <w:sz w:val="24"/>
              </w:rPr>
            </w:pPr>
            <w:r>
              <w:rPr>
                <w:rFonts w:cs="Century Gothic"/>
                <w:b/>
                <w:sz w:val="24"/>
              </w:rPr>
              <w:t>B</w:t>
            </w:r>
            <w:r>
              <w:rPr>
                <w:rFonts w:cs="Century Gothic"/>
                <w:b/>
                <w:sz w:val="24"/>
              </w:rPr>
              <w:tab/>
              <w:t>RESPONSIBLE TO:</w:t>
            </w:r>
          </w:p>
        </w:tc>
        <w:tc>
          <w:tcPr>
            <w:tcW w:w="5895" w:type="dxa"/>
          </w:tcPr>
          <w:p w:rsidR="00B903AC" w:rsidRDefault="008E1FFC">
            <w:pPr>
              <w:rPr>
                <w:rFonts w:cs="Century Gothic"/>
                <w:sz w:val="24"/>
              </w:rPr>
            </w:pPr>
            <w:r>
              <w:rPr>
                <w:rFonts w:cs="Century Gothic"/>
                <w:sz w:val="24"/>
              </w:rPr>
              <w:t xml:space="preserve">Chief Executive </w:t>
            </w:r>
            <w:r w:rsidR="002E6CD2">
              <w:rPr>
                <w:rFonts w:cs="Century Gothic"/>
                <w:sz w:val="24"/>
              </w:rPr>
              <w:t>Officer</w:t>
            </w:r>
          </w:p>
        </w:tc>
      </w:tr>
      <w:tr w:rsidR="00B903AC">
        <w:tc>
          <w:tcPr>
            <w:tcW w:w="3427" w:type="dxa"/>
          </w:tcPr>
          <w:p w:rsidR="00B903AC" w:rsidRDefault="008E1FFC">
            <w:pPr>
              <w:rPr>
                <w:rFonts w:cs="Century Gothic"/>
                <w:b/>
                <w:sz w:val="24"/>
              </w:rPr>
            </w:pPr>
            <w:r>
              <w:rPr>
                <w:rFonts w:cs="Century Gothic"/>
                <w:b/>
                <w:sz w:val="24"/>
              </w:rPr>
              <w:t>C</w:t>
            </w:r>
            <w:r>
              <w:rPr>
                <w:rFonts w:cs="Century Gothic"/>
                <w:b/>
                <w:sz w:val="24"/>
              </w:rPr>
              <w:tab/>
              <w:t>RESPONSIBLE FOR:</w:t>
            </w:r>
          </w:p>
        </w:tc>
        <w:tc>
          <w:tcPr>
            <w:tcW w:w="5895" w:type="dxa"/>
          </w:tcPr>
          <w:p w:rsidR="00B903AC" w:rsidRDefault="004E01E8">
            <w:pPr>
              <w:rPr>
                <w:rFonts w:cs="Century Gothic"/>
                <w:sz w:val="24"/>
              </w:rPr>
            </w:pPr>
            <w:r>
              <w:rPr>
                <w:rFonts w:cs="Century Gothic"/>
                <w:sz w:val="24"/>
              </w:rPr>
              <w:t>n/a</w:t>
            </w:r>
          </w:p>
        </w:tc>
      </w:tr>
      <w:tr w:rsidR="00B903AC">
        <w:tc>
          <w:tcPr>
            <w:tcW w:w="3427" w:type="dxa"/>
          </w:tcPr>
          <w:p w:rsidR="00B903AC" w:rsidRDefault="008E1FFC">
            <w:pPr>
              <w:rPr>
                <w:rFonts w:cs="Century Gothic"/>
                <w:b/>
                <w:sz w:val="24"/>
              </w:rPr>
            </w:pPr>
            <w:r>
              <w:rPr>
                <w:rFonts w:cs="Century Gothic"/>
                <w:b/>
                <w:sz w:val="24"/>
              </w:rPr>
              <w:t>D</w:t>
            </w:r>
            <w:r>
              <w:rPr>
                <w:rFonts w:cs="Century Gothic"/>
                <w:b/>
                <w:sz w:val="24"/>
              </w:rPr>
              <w:tab/>
              <w:t>KEY RELATIONSHIPS: (Internal)</w:t>
            </w:r>
          </w:p>
          <w:p w:rsidR="00B903AC" w:rsidRDefault="00B903AC">
            <w:pPr>
              <w:rPr>
                <w:rFonts w:cs="Century Gothic"/>
                <w:b/>
                <w:sz w:val="24"/>
              </w:rPr>
            </w:pPr>
          </w:p>
        </w:tc>
        <w:tc>
          <w:tcPr>
            <w:tcW w:w="5895" w:type="dxa"/>
          </w:tcPr>
          <w:p w:rsidR="00B903AC" w:rsidRDefault="008E1FFC">
            <w:pPr>
              <w:rPr>
                <w:rFonts w:cs="Century Gothic"/>
                <w:sz w:val="24"/>
              </w:rPr>
            </w:pPr>
            <w:r>
              <w:rPr>
                <w:rFonts w:cs="Century Gothic"/>
                <w:sz w:val="24"/>
              </w:rPr>
              <w:t>CEO, KOM Project Manager, ICM Board</w:t>
            </w:r>
          </w:p>
        </w:tc>
      </w:tr>
      <w:tr w:rsidR="00B903AC">
        <w:tc>
          <w:tcPr>
            <w:tcW w:w="3427" w:type="dxa"/>
          </w:tcPr>
          <w:p w:rsidR="00B903AC" w:rsidRDefault="008E1FFC">
            <w:pPr>
              <w:rPr>
                <w:rFonts w:cs="Century Gothic"/>
                <w:b/>
                <w:sz w:val="24"/>
              </w:rPr>
            </w:pPr>
            <w:r>
              <w:rPr>
                <w:rFonts w:cs="Century Gothic"/>
                <w:b/>
                <w:sz w:val="24"/>
              </w:rPr>
              <w:t>E</w:t>
            </w:r>
            <w:r>
              <w:rPr>
                <w:rFonts w:cs="Century Gothic"/>
                <w:b/>
                <w:sz w:val="24"/>
              </w:rPr>
              <w:tab/>
              <w:t>KEY RELATIONSHIPS: (External)</w:t>
            </w:r>
          </w:p>
        </w:tc>
        <w:tc>
          <w:tcPr>
            <w:tcW w:w="5895" w:type="dxa"/>
          </w:tcPr>
          <w:p w:rsidR="00B903AC" w:rsidRDefault="00F27F82">
            <w:pPr>
              <w:rPr>
                <w:rFonts w:cs="Century Gothic"/>
                <w:sz w:val="24"/>
              </w:rPr>
            </w:pPr>
            <w:r>
              <w:rPr>
                <w:rFonts w:cs="Century Gothic"/>
                <w:sz w:val="24"/>
              </w:rPr>
              <w:t>External professional team, National Lottery Heritage Fund</w:t>
            </w:r>
            <w:r w:rsidR="008E1FFC">
              <w:rPr>
                <w:rFonts w:cs="Century Gothic"/>
                <w:sz w:val="24"/>
              </w:rPr>
              <w:t>, freelance facilitators</w:t>
            </w:r>
          </w:p>
        </w:tc>
      </w:tr>
      <w:tr w:rsidR="00B903AC">
        <w:tc>
          <w:tcPr>
            <w:tcW w:w="3427" w:type="dxa"/>
          </w:tcPr>
          <w:p w:rsidR="00B903AC" w:rsidRDefault="008E1FFC">
            <w:pPr>
              <w:rPr>
                <w:rFonts w:cs="Century Gothic"/>
                <w:b/>
                <w:sz w:val="24"/>
              </w:rPr>
            </w:pPr>
            <w:r>
              <w:rPr>
                <w:rFonts w:cs="Century Gothic"/>
                <w:b/>
                <w:sz w:val="24"/>
              </w:rPr>
              <w:t>F</w:t>
            </w:r>
            <w:r>
              <w:rPr>
                <w:rFonts w:cs="Century Gothic"/>
                <w:b/>
                <w:sz w:val="24"/>
              </w:rPr>
              <w:tab/>
              <w:t>SALARY:</w:t>
            </w:r>
          </w:p>
        </w:tc>
        <w:tc>
          <w:tcPr>
            <w:tcW w:w="5895" w:type="dxa"/>
          </w:tcPr>
          <w:p w:rsidR="00B903AC" w:rsidRDefault="008E1FFC">
            <w:pPr>
              <w:rPr>
                <w:rFonts w:cs="Century Gothic"/>
                <w:sz w:val="24"/>
              </w:rPr>
            </w:pPr>
            <w:r>
              <w:rPr>
                <w:rFonts w:cs="Century Gothic"/>
                <w:sz w:val="24"/>
              </w:rPr>
              <w:t>£</w:t>
            </w:r>
            <w:r w:rsidR="00B8401B">
              <w:rPr>
                <w:rFonts w:cs="Century Gothic"/>
                <w:sz w:val="24"/>
              </w:rPr>
              <w:t xml:space="preserve">200 per day </w:t>
            </w:r>
          </w:p>
          <w:p w:rsidR="00B903AC" w:rsidRDefault="00B903AC">
            <w:pPr>
              <w:rPr>
                <w:rFonts w:cs="Century Gothic"/>
                <w:sz w:val="24"/>
              </w:rPr>
            </w:pPr>
          </w:p>
        </w:tc>
      </w:tr>
      <w:tr w:rsidR="00B903AC">
        <w:tc>
          <w:tcPr>
            <w:tcW w:w="3427" w:type="dxa"/>
          </w:tcPr>
          <w:p w:rsidR="00B903AC" w:rsidRDefault="008E1FFC">
            <w:pPr>
              <w:rPr>
                <w:rFonts w:cs="Century Gothic"/>
                <w:b/>
                <w:sz w:val="24"/>
              </w:rPr>
            </w:pPr>
            <w:r>
              <w:rPr>
                <w:rFonts w:cs="Century Gothic"/>
                <w:b/>
                <w:sz w:val="24"/>
              </w:rPr>
              <w:t>G</w:t>
            </w:r>
            <w:r>
              <w:rPr>
                <w:rFonts w:cs="Century Gothic"/>
                <w:b/>
                <w:sz w:val="24"/>
              </w:rPr>
              <w:tab/>
              <w:t>HOURS:</w:t>
            </w:r>
            <w:r>
              <w:rPr>
                <w:rFonts w:cs="Century Gothic"/>
                <w:sz w:val="24"/>
              </w:rPr>
              <w:tab/>
            </w:r>
          </w:p>
        </w:tc>
        <w:tc>
          <w:tcPr>
            <w:tcW w:w="5895" w:type="dxa"/>
          </w:tcPr>
          <w:p w:rsidR="00B903AC" w:rsidRDefault="004E01E8">
            <w:pPr>
              <w:rPr>
                <w:rFonts w:cs="Century Gothic"/>
                <w:b/>
                <w:sz w:val="24"/>
              </w:rPr>
            </w:pPr>
            <w:r>
              <w:rPr>
                <w:rFonts w:cs="Century Gothic"/>
                <w:sz w:val="24"/>
              </w:rPr>
              <w:t>One</w:t>
            </w:r>
            <w:r w:rsidR="008E1FFC">
              <w:rPr>
                <w:rFonts w:cs="Century Gothic"/>
                <w:sz w:val="24"/>
              </w:rPr>
              <w:t xml:space="preserve"> day per week (0.2FTE) in first year; Half a d</w:t>
            </w:r>
            <w:r>
              <w:rPr>
                <w:rFonts w:cs="Century Gothic"/>
                <w:sz w:val="24"/>
              </w:rPr>
              <w:t>ay per week (0.1FTE) for years two, three and</w:t>
            </w:r>
            <w:r w:rsidR="008E1FFC">
              <w:rPr>
                <w:rFonts w:cs="Century Gothic"/>
                <w:sz w:val="24"/>
              </w:rPr>
              <w:t xml:space="preserve"> </w:t>
            </w:r>
            <w:r>
              <w:rPr>
                <w:rFonts w:cs="Century Gothic"/>
                <w:sz w:val="24"/>
              </w:rPr>
              <w:t>four</w:t>
            </w:r>
          </w:p>
        </w:tc>
      </w:tr>
      <w:tr w:rsidR="00236199">
        <w:tc>
          <w:tcPr>
            <w:tcW w:w="3427" w:type="dxa"/>
          </w:tcPr>
          <w:p w:rsidR="00236199" w:rsidRDefault="00236199">
            <w:pPr>
              <w:rPr>
                <w:rFonts w:cs="Century Gothic"/>
                <w:b/>
                <w:sz w:val="24"/>
              </w:rPr>
            </w:pPr>
            <w:r>
              <w:rPr>
                <w:rFonts w:cs="Century Gothic"/>
                <w:b/>
                <w:sz w:val="24"/>
              </w:rPr>
              <w:t>H           PERIOD OF ENGAGEMENT:</w:t>
            </w:r>
            <w:r>
              <w:rPr>
                <w:rFonts w:cs="Century Gothic"/>
                <w:sz w:val="24"/>
              </w:rPr>
              <w:tab/>
            </w:r>
          </w:p>
        </w:tc>
        <w:tc>
          <w:tcPr>
            <w:tcW w:w="5895" w:type="dxa"/>
          </w:tcPr>
          <w:p w:rsidR="00236199" w:rsidRDefault="004E01E8">
            <w:pPr>
              <w:rPr>
                <w:rFonts w:cs="Century Gothic"/>
                <w:b/>
                <w:sz w:val="24"/>
              </w:rPr>
            </w:pPr>
            <w:proofErr w:type="gramStart"/>
            <w:r>
              <w:rPr>
                <w:rFonts w:cs="Century Gothic"/>
                <w:sz w:val="24"/>
              </w:rPr>
              <w:t xml:space="preserve">Four </w:t>
            </w:r>
            <w:r w:rsidR="00236199">
              <w:rPr>
                <w:rFonts w:cs="Century Gothic"/>
                <w:sz w:val="24"/>
              </w:rPr>
              <w:t>year</w:t>
            </w:r>
            <w:proofErr w:type="gramEnd"/>
            <w:r w:rsidR="00236199">
              <w:rPr>
                <w:rFonts w:cs="Century Gothic"/>
                <w:sz w:val="24"/>
              </w:rPr>
              <w:t xml:space="preserve"> post</w:t>
            </w:r>
          </w:p>
        </w:tc>
      </w:tr>
      <w:tr w:rsidR="00236199">
        <w:tc>
          <w:tcPr>
            <w:tcW w:w="3427" w:type="dxa"/>
          </w:tcPr>
          <w:p w:rsidR="00236199" w:rsidRDefault="00236199">
            <w:pPr>
              <w:rPr>
                <w:rFonts w:cs="Century Gothic"/>
                <w:b/>
                <w:sz w:val="24"/>
              </w:rPr>
            </w:pPr>
            <w:r>
              <w:rPr>
                <w:rFonts w:cs="Century Gothic"/>
                <w:b/>
                <w:sz w:val="24"/>
              </w:rPr>
              <w:t>J</w:t>
            </w:r>
            <w:r>
              <w:rPr>
                <w:rFonts w:cs="Century Gothic"/>
                <w:b/>
                <w:sz w:val="24"/>
              </w:rPr>
              <w:tab/>
              <w:t>NOTICE PERIOD:</w:t>
            </w:r>
          </w:p>
        </w:tc>
        <w:tc>
          <w:tcPr>
            <w:tcW w:w="5895" w:type="dxa"/>
          </w:tcPr>
          <w:p w:rsidR="00236199" w:rsidRDefault="003521D4">
            <w:pPr>
              <w:rPr>
                <w:rFonts w:cs="Century Gothic"/>
                <w:b/>
                <w:sz w:val="24"/>
              </w:rPr>
            </w:pPr>
            <w:r>
              <w:rPr>
                <w:rFonts w:cs="Century Gothic"/>
                <w:sz w:val="24"/>
              </w:rPr>
              <w:t>F</w:t>
            </w:r>
            <w:r w:rsidR="00236199">
              <w:rPr>
                <w:rFonts w:cs="Century Gothic"/>
                <w:sz w:val="24"/>
              </w:rPr>
              <w:t>our weeks’ notice up to four years of continuous employment</w:t>
            </w:r>
          </w:p>
        </w:tc>
      </w:tr>
    </w:tbl>
    <w:p w:rsidR="00B903AC" w:rsidRDefault="00B903AC">
      <w:pPr>
        <w:rPr>
          <w:rFonts w:cs="Century Gothic"/>
          <w:b/>
          <w:sz w:val="24"/>
        </w:rPr>
      </w:pPr>
    </w:p>
    <w:p w:rsidR="00B903AC" w:rsidRDefault="008E1FFC">
      <w:pPr>
        <w:rPr>
          <w:rFonts w:cs="Century Gothic"/>
          <w:b/>
          <w:bCs/>
          <w:sz w:val="24"/>
        </w:rPr>
      </w:pPr>
      <w:r>
        <w:rPr>
          <w:rFonts w:cs="Century Gothic"/>
          <w:b/>
          <w:bCs/>
          <w:sz w:val="24"/>
        </w:rPr>
        <w:t>JOB REQUIREMENTS &amp; RESPONSIBILITIES</w:t>
      </w:r>
    </w:p>
    <w:p w:rsidR="00B903AC" w:rsidRDefault="00B903AC"/>
    <w:p w:rsidR="00236199" w:rsidRDefault="00236199" w:rsidP="00236199">
      <w:pPr>
        <w:rPr>
          <w:rFonts w:cs="Century Gothic"/>
          <w:sz w:val="24"/>
        </w:rPr>
      </w:pPr>
      <w:r w:rsidRPr="00236199">
        <w:rPr>
          <w:rFonts w:cs="Century Gothic"/>
          <w:sz w:val="24"/>
        </w:rPr>
        <w:t>This is a core position to support the delivery of Band on the Wall’s ‘Keep on Moving’ project, comprising of:</w:t>
      </w:r>
    </w:p>
    <w:p w:rsidR="00236199" w:rsidRPr="00236199" w:rsidRDefault="00236199" w:rsidP="00236199">
      <w:pPr>
        <w:rPr>
          <w:rFonts w:cs="Century Gothic"/>
          <w:sz w:val="24"/>
        </w:rPr>
      </w:pPr>
    </w:p>
    <w:p w:rsidR="00236199" w:rsidRPr="00236199" w:rsidRDefault="00236199" w:rsidP="00236199">
      <w:pPr>
        <w:pStyle w:val="ListParagraph"/>
        <w:numPr>
          <w:ilvl w:val="0"/>
          <w:numId w:val="4"/>
        </w:numPr>
        <w:rPr>
          <w:rFonts w:cs="Century Gothic"/>
          <w:sz w:val="24"/>
        </w:rPr>
      </w:pPr>
      <w:r w:rsidRPr="00236199">
        <w:rPr>
          <w:rFonts w:cs="Century Gothic"/>
          <w:sz w:val="24"/>
        </w:rPr>
        <w:t>A major capital project of expansion</w:t>
      </w:r>
      <w:r w:rsidR="004E01E8">
        <w:rPr>
          <w:rFonts w:cs="Century Gothic"/>
          <w:sz w:val="24"/>
        </w:rPr>
        <w:t xml:space="preserve"> and restoration</w:t>
      </w:r>
      <w:r w:rsidRPr="00236199">
        <w:rPr>
          <w:rFonts w:cs="Century Gothic"/>
          <w:sz w:val="24"/>
        </w:rPr>
        <w:t xml:space="preserve"> </w:t>
      </w:r>
    </w:p>
    <w:p w:rsidR="00236199" w:rsidRPr="00236199" w:rsidRDefault="00236199" w:rsidP="00236199">
      <w:pPr>
        <w:pStyle w:val="ListParagraph"/>
        <w:numPr>
          <w:ilvl w:val="0"/>
          <w:numId w:val="4"/>
        </w:numPr>
        <w:rPr>
          <w:rFonts w:cs="Century Gothic"/>
          <w:sz w:val="24"/>
        </w:rPr>
      </w:pPr>
      <w:r w:rsidRPr="00236199">
        <w:rPr>
          <w:rFonts w:cs="Century Gothic"/>
          <w:sz w:val="24"/>
        </w:rPr>
        <w:t xml:space="preserve">The delivery of a new and ambitious learning and participation programme. </w:t>
      </w:r>
    </w:p>
    <w:p w:rsidR="00236199" w:rsidRDefault="00236199" w:rsidP="00236199">
      <w:pPr>
        <w:rPr>
          <w:rFonts w:cs="Century Gothic"/>
          <w:sz w:val="24"/>
        </w:rPr>
      </w:pPr>
    </w:p>
    <w:p w:rsidR="00236199" w:rsidRPr="00236199" w:rsidRDefault="00236199" w:rsidP="00236199">
      <w:pPr>
        <w:rPr>
          <w:rFonts w:cs="Century Gothic"/>
          <w:sz w:val="24"/>
        </w:rPr>
      </w:pPr>
      <w:r w:rsidRPr="00236199">
        <w:rPr>
          <w:rFonts w:cs="Century Gothic"/>
          <w:sz w:val="24"/>
        </w:rPr>
        <w:t xml:space="preserve">Keep </w:t>
      </w:r>
      <w:proofErr w:type="gramStart"/>
      <w:r w:rsidRPr="00236199">
        <w:rPr>
          <w:rFonts w:cs="Century Gothic"/>
          <w:sz w:val="24"/>
        </w:rPr>
        <w:t>On</w:t>
      </w:r>
      <w:proofErr w:type="gramEnd"/>
      <w:r w:rsidRPr="00236199">
        <w:rPr>
          <w:rFonts w:cs="Century Gothic"/>
          <w:sz w:val="24"/>
        </w:rPr>
        <w:t xml:space="preserve"> Moving focuses on the musical and cultural heritage of Band on the Wall’s neighbourhood, exploring the impact of</w:t>
      </w:r>
      <w:r w:rsidR="00F27F82">
        <w:rPr>
          <w:rFonts w:cs="Century Gothic"/>
          <w:sz w:val="24"/>
        </w:rPr>
        <w:t xml:space="preserve"> music brought into the area through</w:t>
      </w:r>
      <w:r w:rsidRPr="00236199">
        <w:rPr>
          <w:rFonts w:cs="Century Gothic"/>
          <w:sz w:val="24"/>
        </w:rPr>
        <w:t xml:space="preserve"> the waves of migration from diverse cultures, over the past 200 years.</w:t>
      </w:r>
    </w:p>
    <w:p w:rsidR="00236199" w:rsidRPr="00236199" w:rsidRDefault="00236199" w:rsidP="00236199">
      <w:pPr>
        <w:rPr>
          <w:rFonts w:cs="Century Gothic"/>
          <w:sz w:val="24"/>
        </w:rPr>
      </w:pPr>
    </w:p>
    <w:p w:rsidR="00236199" w:rsidRPr="00236199" w:rsidRDefault="003521D4" w:rsidP="00236199">
      <w:pPr>
        <w:rPr>
          <w:rFonts w:cs="Century Gothic"/>
          <w:sz w:val="24"/>
        </w:rPr>
      </w:pPr>
      <w:r>
        <w:rPr>
          <w:rFonts w:cs="Century Gothic"/>
          <w:sz w:val="24"/>
        </w:rPr>
        <w:lastRenderedPageBreak/>
        <w:t>Chief Executive support</w:t>
      </w:r>
      <w:r w:rsidR="00236199" w:rsidRPr="00236199">
        <w:rPr>
          <w:rFonts w:cs="Century Gothic"/>
          <w:sz w:val="24"/>
        </w:rPr>
        <w:t xml:space="preserve"> is critical to ensuring the coordinated delivery of the two main strands of the project, supporting Band on</w:t>
      </w:r>
      <w:r w:rsidR="00F27F82">
        <w:rPr>
          <w:rFonts w:cs="Century Gothic"/>
          <w:sz w:val="24"/>
        </w:rPr>
        <w:t xml:space="preserve"> the Wall’s Chief Executive </w:t>
      </w:r>
      <w:r w:rsidR="00236199" w:rsidRPr="00236199">
        <w:rPr>
          <w:rFonts w:cs="Century Gothic"/>
          <w:sz w:val="24"/>
        </w:rPr>
        <w:t xml:space="preserve">with responsibility for funder and project team interface, budget oversight, and strategic project coordination.  </w:t>
      </w:r>
    </w:p>
    <w:p w:rsidR="00236199" w:rsidRPr="00236199" w:rsidRDefault="00236199" w:rsidP="00236199">
      <w:pPr>
        <w:rPr>
          <w:rFonts w:cs="Century Gothic"/>
          <w:sz w:val="24"/>
        </w:rPr>
      </w:pPr>
    </w:p>
    <w:p w:rsidR="00236199" w:rsidRPr="00236199" w:rsidRDefault="00236199" w:rsidP="00236199">
      <w:pPr>
        <w:rPr>
          <w:rFonts w:cs="Century Gothic"/>
          <w:sz w:val="24"/>
        </w:rPr>
      </w:pPr>
      <w:r w:rsidRPr="00236199">
        <w:rPr>
          <w:rFonts w:cs="Century Gothic"/>
          <w:sz w:val="24"/>
        </w:rPr>
        <w:t xml:space="preserve">The successful candidate will be responsible for progress reporting to funders and to the Board of </w:t>
      </w:r>
      <w:proofErr w:type="gramStart"/>
      <w:r w:rsidRPr="00236199">
        <w:rPr>
          <w:rFonts w:cs="Century Gothic"/>
          <w:sz w:val="24"/>
        </w:rPr>
        <w:t>Inner C</w:t>
      </w:r>
      <w:r w:rsidR="003521D4">
        <w:rPr>
          <w:rFonts w:cs="Century Gothic"/>
          <w:sz w:val="24"/>
        </w:rPr>
        <w:t>ity</w:t>
      </w:r>
      <w:proofErr w:type="gramEnd"/>
      <w:r w:rsidR="003521D4">
        <w:rPr>
          <w:rFonts w:cs="Century Gothic"/>
          <w:sz w:val="24"/>
        </w:rPr>
        <w:t xml:space="preserve"> Music Ltd (the charity that</w:t>
      </w:r>
      <w:r w:rsidRPr="00236199">
        <w:rPr>
          <w:rFonts w:cs="Century Gothic"/>
          <w:sz w:val="24"/>
        </w:rPr>
        <w:t xml:space="preserve"> owns and operates Band on the Wall). They will ensure effective communication between the external professional team and internal staff in the delivery of the project</w:t>
      </w:r>
      <w:r w:rsidR="00F27F82">
        <w:rPr>
          <w:rFonts w:cs="Century Gothic"/>
          <w:sz w:val="24"/>
        </w:rPr>
        <w:t>. The role</w:t>
      </w:r>
      <w:r w:rsidRPr="00236199">
        <w:rPr>
          <w:rFonts w:cs="Century Gothic"/>
          <w:sz w:val="24"/>
        </w:rPr>
        <w:t xml:space="preserve"> will involve close working with the Chi</w:t>
      </w:r>
      <w:r w:rsidR="00F27F82">
        <w:rPr>
          <w:rFonts w:cs="Century Gothic"/>
          <w:sz w:val="24"/>
        </w:rPr>
        <w:t>ef Executive</w:t>
      </w:r>
      <w:r w:rsidRPr="00236199">
        <w:rPr>
          <w:rFonts w:cs="Century Gothic"/>
          <w:sz w:val="24"/>
        </w:rPr>
        <w:t xml:space="preserve">, Board members, funders, the external </w:t>
      </w:r>
      <w:bookmarkStart w:id="0" w:name="_GoBack"/>
      <w:bookmarkEnd w:id="0"/>
      <w:r w:rsidRPr="00236199">
        <w:rPr>
          <w:rFonts w:cs="Century Gothic"/>
          <w:sz w:val="24"/>
        </w:rPr>
        <w:t xml:space="preserve">professional team and the Keep </w:t>
      </w:r>
      <w:proofErr w:type="gramStart"/>
      <w:r w:rsidRPr="00236199">
        <w:rPr>
          <w:rFonts w:cs="Century Gothic"/>
          <w:sz w:val="24"/>
        </w:rPr>
        <w:t>On</w:t>
      </w:r>
      <w:proofErr w:type="gramEnd"/>
      <w:r w:rsidRPr="00236199">
        <w:rPr>
          <w:rFonts w:cs="Century Gothic"/>
          <w:sz w:val="24"/>
        </w:rPr>
        <w:t xml:space="preserve"> Moving Project Manager.</w:t>
      </w:r>
    </w:p>
    <w:p w:rsidR="00B903AC" w:rsidRDefault="00B903AC">
      <w:pPr>
        <w:rPr>
          <w:rFonts w:cs="Century Gothic"/>
          <w:sz w:val="24"/>
        </w:rPr>
      </w:pPr>
    </w:p>
    <w:p w:rsidR="00B903AC" w:rsidRDefault="00B903AC">
      <w:pPr>
        <w:rPr>
          <w:rFonts w:cs="Century Gothic"/>
          <w:sz w:val="24"/>
        </w:rPr>
      </w:pPr>
    </w:p>
    <w:p w:rsidR="00B903AC" w:rsidRDefault="008E1FFC">
      <w:pPr>
        <w:rPr>
          <w:rFonts w:cs="Century Gothic"/>
          <w:b/>
          <w:bCs/>
          <w:sz w:val="24"/>
        </w:rPr>
      </w:pPr>
      <w:r>
        <w:rPr>
          <w:rFonts w:cs="Century Gothic"/>
          <w:b/>
          <w:bCs/>
          <w:sz w:val="24"/>
        </w:rPr>
        <w:t>Key Tasks</w:t>
      </w:r>
    </w:p>
    <w:p w:rsidR="00B903AC" w:rsidRDefault="00C51566">
      <w:pPr>
        <w:numPr>
          <w:ilvl w:val="0"/>
          <w:numId w:val="2"/>
        </w:numPr>
        <w:spacing w:line="360" w:lineRule="auto"/>
        <w:rPr>
          <w:rFonts w:cs="Century Gothic"/>
          <w:sz w:val="24"/>
        </w:rPr>
      </w:pPr>
      <w:r>
        <w:rPr>
          <w:rFonts w:cs="Century Gothic"/>
          <w:sz w:val="24"/>
        </w:rPr>
        <w:t>Oversight of</w:t>
      </w:r>
      <w:r w:rsidR="008E1FFC">
        <w:rPr>
          <w:rFonts w:cs="Century Gothic"/>
          <w:sz w:val="24"/>
        </w:rPr>
        <w:t xml:space="preserve"> programme</w:t>
      </w:r>
      <w:r>
        <w:rPr>
          <w:rFonts w:cs="Century Gothic"/>
          <w:sz w:val="24"/>
        </w:rPr>
        <w:t xml:space="preserve"> delivery</w:t>
      </w:r>
      <w:r w:rsidR="008E1FFC">
        <w:rPr>
          <w:rFonts w:cs="Century Gothic"/>
          <w:sz w:val="24"/>
        </w:rPr>
        <w:t xml:space="preserve"> (capital and activity)</w:t>
      </w:r>
    </w:p>
    <w:p w:rsidR="00B903AC" w:rsidRDefault="008E1FFC">
      <w:pPr>
        <w:numPr>
          <w:ilvl w:val="0"/>
          <w:numId w:val="2"/>
        </w:numPr>
        <w:spacing w:line="360" w:lineRule="auto"/>
        <w:rPr>
          <w:rFonts w:cs="Century Gothic"/>
          <w:sz w:val="24"/>
        </w:rPr>
      </w:pPr>
      <w:r>
        <w:rPr>
          <w:rFonts w:cs="Century Gothic"/>
          <w:sz w:val="24"/>
        </w:rPr>
        <w:t>Monitoring of project progress against agreed targets, performance indicators and schedules</w:t>
      </w:r>
    </w:p>
    <w:p w:rsidR="00B8401B" w:rsidRPr="00B8401B" w:rsidRDefault="008E1FFC" w:rsidP="00B8401B">
      <w:pPr>
        <w:numPr>
          <w:ilvl w:val="0"/>
          <w:numId w:val="2"/>
        </w:numPr>
        <w:spacing w:line="360" w:lineRule="auto"/>
        <w:rPr>
          <w:rFonts w:cs="Century Gothic"/>
          <w:sz w:val="24"/>
        </w:rPr>
      </w:pPr>
      <w:r>
        <w:rPr>
          <w:rFonts w:cs="Century Gothic"/>
          <w:sz w:val="24"/>
        </w:rPr>
        <w:t>Reporting to Chief Executive regarding overall project progress</w:t>
      </w:r>
    </w:p>
    <w:p w:rsidR="00B903AC" w:rsidRDefault="008E1FFC">
      <w:pPr>
        <w:numPr>
          <w:ilvl w:val="0"/>
          <w:numId w:val="2"/>
        </w:numPr>
        <w:spacing w:line="360" w:lineRule="auto"/>
        <w:rPr>
          <w:rFonts w:cs="Century Gothic"/>
          <w:sz w:val="24"/>
        </w:rPr>
      </w:pPr>
      <w:r>
        <w:rPr>
          <w:rFonts w:cs="Century Gothic"/>
          <w:sz w:val="24"/>
        </w:rPr>
        <w:t>Oversight of project budget and reporting to Head of Finance</w:t>
      </w:r>
    </w:p>
    <w:p w:rsidR="00B903AC" w:rsidRDefault="008E1FFC">
      <w:pPr>
        <w:numPr>
          <w:ilvl w:val="0"/>
          <w:numId w:val="2"/>
        </w:numPr>
        <w:spacing w:line="360" w:lineRule="auto"/>
        <w:rPr>
          <w:rFonts w:cs="Century Gothic"/>
          <w:sz w:val="24"/>
        </w:rPr>
      </w:pPr>
      <w:r>
        <w:rPr>
          <w:rFonts w:cs="Century Gothic"/>
          <w:sz w:val="24"/>
        </w:rPr>
        <w:t xml:space="preserve">Preparation and submission of progress reports </w:t>
      </w:r>
      <w:r w:rsidR="00F27F82">
        <w:rPr>
          <w:rFonts w:cs="Century Gothic"/>
          <w:sz w:val="24"/>
        </w:rPr>
        <w:t>and payment requests to National</w:t>
      </w:r>
      <w:r>
        <w:rPr>
          <w:rFonts w:cs="Century Gothic"/>
          <w:sz w:val="24"/>
        </w:rPr>
        <w:t xml:space="preserve"> Lottery</w:t>
      </w:r>
      <w:r w:rsidR="00F27F82">
        <w:rPr>
          <w:rFonts w:cs="Century Gothic"/>
          <w:sz w:val="24"/>
        </w:rPr>
        <w:t xml:space="preserve"> Heritage</w:t>
      </w:r>
      <w:r>
        <w:rPr>
          <w:rFonts w:cs="Century Gothic"/>
          <w:sz w:val="24"/>
        </w:rPr>
        <w:t xml:space="preserve"> Fund and Arts Council England.</w:t>
      </w:r>
    </w:p>
    <w:p w:rsidR="00B903AC" w:rsidRDefault="00F27F82">
      <w:pPr>
        <w:numPr>
          <w:ilvl w:val="0"/>
          <w:numId w:val="2"/>
        </w:numPr>
        <w:spacing w:line="360" w:lineRule="auto"/>
        <w:rPr>
          <w:rFonts w:cs="Century Gothic"/>
          <w:sz w:val="24"/>
        </w:rPr>
      </w:pPr>
      <w:r>
        <w:rPr>
          <w:rFonts w:cs="Century Gothic"/>
          <w:sz w:val="24"/>
        </w:rPr>
        <w:t xml:space="preserve">Managing </w:t>
      </w:r>
      <w:r w:rsidR="008E1FFC">
        <w:rPr>
          <w:rFonts w:cs="Century Gothic"/>
          <w:sz w:val="24"/>
        </w:rPr>
        <w:t>communicati</w:t>
      </w:r>
      <w:r>
        <w:rPr>
          <w:rFonts w:cs="Century Gothic"/>
          <w:sz w:val="24"/>
        </w:rPr>
        <w:t xml:space="preserve">ons between </w:t>
      </w:r>
      <w:r w:rsidR="008E1FFC">
        <w:rPr>
          <w:rFonts w:cs="Century Gothic"/>
          <w:sz w:val="24"/>
        </w:rPr>
        <w:t>external professional team and internal project team.</w:t>
      </w:r>
    </w:p>
    <w:p w:rsidR="00B903AC" w:rsidRDefault="00F27F82">
      <w:pPr>
        <w:numPr>
          <w:ilvl w:val="0"/>
          <w:numId w:val="2"/>
        </w:numPr>
        <w:spacing w:line="360" w:lineRule="auto"/>
        <w:rPr>
          <w:rFonts w:cs="Century Gothic"/>
          <w:sz w:val="24"/>
        </w:rPr>
      </w:pPr>
      <w:r>
        <w:rPr>
          <w:rFonts w:cs="Century Gothic"/>
          <w:sz w:val="24"/>
        </w:rPr>
        <w:t xml:space="preserve">Producing </w:t>
      </w:r>
      <w:r w:rsidR="008E1FFC">
        <w:rPr>
          <w:rFonts w:cs="Century Gothic"/>
          <w:sz w:val="24"/>
        </w:rPr>
        <w:t xml:space="preserve">regular reports on capital and </w:t>
      </w:r>
      <w:r>
        <w:rPr>
          <w:rFonts w:cs="Century Gothic"/>
          <w:sz w:val="24"/>
        </w:rPr>
        <w:t>activity progress for the</w:t>
      </w:r>
      <w:r w:rsidR="008E1FFC">
        <w:rPr>
          <w:rFonts w:cs="Century Gothic"/>
          <w:sz w:val="24"/>
        </w:rPr>
        <w:t xml:space="preserve"> Board.</w:t>
      </w:r>
    </w:p>
    <w:p w:rsidR="00B903AC" w:rsidRDefault="00F27F82">
      <w:pPr>
        <w:numPr>
          <w:ilvl w:val="0"/>
          <w:numId w:val="2"/>
        </w:numPr>
        <w:spacing w:line="360" w:lineRule="auto"/>
        <w:rPr>
          <w:rFonts w:cs="Century Gothic"/>
          <w:sz w:val="24"/>
        </w:rPr>
      </w:pPr>
      <w:r>
        <w:rPr>
          <w:rFonts w:cs="Century Gothic"/>
          <w:sz w:val="24"/>
        </w:rPr>
        <w:t>Communicating</w:t>
      </w:r>
      <w:r w:rsidR="008E1FFC">
        <w:rPr>
          <w:rFonts w:cs="Century Gothic"/>
          <w:sz w:val="24"/>
        </w:rPr>
        <w:t xml:space="preserve"> effectively with </w:t>
      </w:r>
      <w:r>
        <w:rPr>
          <w:rFonts w:cs="Century Gothic"/>
          <w:sz w:val="24"/>
        </w:rPr>
        <w:t xml:space="preserve">the </w:t>
      </w:r>
      <w:r w:rsidR="008E1FFC">
        <w:rPr>
          <w:rFonts w:cs="Century Gothic"/>
          <w:sz w:val="24"/>
        </w:rPr>
        <w:t xml:space="preserve">Chief Executive and wider project team to share information, achieve deadlines and promote a positive working environment. </w:t>
      </w:r>
    </w:p>
    <w:p w:rsidR="00B903AC" w:rsidRDefault="008E1FFC">
      <w:pPr>
        <w:numPr>
          <w:ilvl w:val="0"/>
          <w:numId w:val="2"/>
        </w:numPr>
        <w:spacing w:line="360" w:lineRule="auto"/>
        <w:rPr>
          <w:rFonts w:cs="Century Gothic"/>
          <w:b/>
          <w:sz w:val="24"/>
        </w:rPr>
      </w:pPr>
      <w:r>
        <w:rPr>
          <w:rFonts w:cs="Century Gothic"/>
          <w:sz w:val="24"/>
        </w:rPr>
        <w:t xml:space="preserve">Monitoring media activity to report on project visibility and ensure appropriate funder acknowledgement </w:t>
      </w:r>
    </w:p>
    <w:p w:rsidR="00B903AC" w:rsidRDefault="008E1FFC">
      <w:pPr>
        <w:rPr>
          <w:rFonts w:cs="Century Gothic"/>
          <w:b/>
          <w:bCs/>
          <w:sz w:val="24"/>
        </w:rPr>
      </w:pPr>
      <w:r>
        <w:rPr>
          <w:rFonts w:cs="Century Gothic"/>
          <w:b/>
          <w:bCs/>
          <w:sz w:val="24"/>
        </w:rPr>
        <w:br w:type="page"/>
      </w:r>
    </w:p>
    <w:p w:rsidR="00B903AC" w:rsidRDefault="008E1FFC">
      <w:pPr>
        <w:rPr>
          <w:rFonts w:cs="Century Gothic"/>
          <w:b/>
          <w:bCs/>
          <w:sz w:val="24"/>
        </w:rPr>
      </w:pPr>
      <w:r>
        <w:rPr>
          <w:rFonts w:cs="Century Gothic"/>
          <w:b/>
          <w:bCs/>
          <w:sz w:val="24"/>
        </w:rPr>
        <w:lastRenderedPageBreak/>
        <w:t>Person Specification</w:t>
      </w:r>
    </w:p>
    <w:p w:rsidR="00F27F82" w:rsidRDefault="00F27F82">
      <w:pPr>
        <w:spacing w:line="360" w:lineRule="auto"/>
        <w:rPr>
          <w:rFonts w:cs="Century Gothic"/>
          <w:sz w:val="24"/>
        </w:rPr>
      </w:pPr>
    </w:p>
    <w:p w:rsidR="00B903AC" w:rsidRDefault="008E1FFC">
      <w:pPr>
        <w:pStyle w:val="ListParagraph"/>
        <w:numPr>
          <w:ilvl w:val="0"/>
          <w:numId w:val="2"/>
        </w:numPr>
        <w:spacing w:line="360" w:lineRule="auto"/>
        <w:rPr>
          <w:rFonts w:cs="Century Gothic"/>
          <w:sz w:val="24"/>
        </w:rPr>
      </w:pPr>
      <w:r>
        <w:rPr>
          <w:rFonts w:cs="Century Gothic"/>
          <w:sz w:val="24"/>
        </w:rPr>
        <w:t>Experience of monitoring complex capital and activity projects in a heritage context</w:t>
      </w:r>
    </w:p>
    <w:p w:rsidR="00B903AC" w:rsidRDefault="008E1FFC">
      <w:pPr>
        <w:numPr>
          <w:ilvl w:val="0"/>
          <w:numId w:val="2"/>
        </w:numPr>
        <w:spacing w:line="360" w:lineRule="auto"/>
        <w:rPr>
          <w:rFonts w:cs="Century Gothic"/>
          <w:sz w:val="24"/>
        </w:rPr>
      </w:pPr>
      <w:r>
        <w:rPr>
          <w:rFonts w:cs="Century Gothic"/>
          <w:sz w:val="24"/>
        </w:rPr>
        <w:t>Managing a wide range of people to support delivery of project outcomes</w:t>
      </w:r>
    </w:p>
    <w:p w:rsidR="00B903AC" w:rsidRDefault="008E1FFC">
      <w:pPr>
        <w:pStyle w:val="ListParagraph"/>
        <w:numPr>
          <w:ilvl w:val="0"/>
          <w:numId w:val="2"/>
        </w:numPr>
        <w:spacing w:line="360" w:lineRule="auto"/>
        <w:rPr>
          <w:rFonts w:cs="Century Gothic"/>
          <w:sz w:val="24"/>
        </w:rPr>
      </w:pPr>
      <w:r>
        <w:rPr>
          <w:rFonts w:cs="Century Gothic"/>
          <w:sz w:val="24"/>
        </w:rPr>
        <w:t>Understanding of funder reporting requirements</w:t>
      </w:r>
    </w:p>
    <w:p w:rsidR="00B903AC" w:rsidRDefault="008E1FFC">
      <w:pPr>
        <w:pStyle w:val="ListParagraph"/>
        <w:numPr>
          <w:ilvl w:val="0"/>
          <w:numId w:val="2"/>
        </w:numPr>
        <w:spacing w:line="360" w:lineRule="auto"/>
        <w:rPr>
          <w:rFonts w:cs="Century Gothic"/>
          <w:sz w:val="24"/>
        </w:rPr>
      </w:pPr>
      <w:r>
        <w:rPr>
          <w:rFonts w:cs="Century Gothic"/>
          <w:sz w:val="24"/>
        </w:rPr>
        <w:t>Budget management and analysis</w:t>
      </w:r>
    </w:p>
    <w:p w:rsidR="00B903AC" w:rsidRDefault="008E1FFC">
      <w:pPr>
        <w:pStyle w:val="ListParagraph"/>
        <w:numPr>
          <w:ilvl w:val="0"/>
          <w:numId w:val="2"/>
        </w:numPr>
        <w:spacing w:line="360" w:lineRule="auto"/>
        <w:rPr>
          <w:rFonts w:cs="Century Gothic"/>
          <w:sz w:val="24"/>
        </w:rPr>
      </w:pPr>
      <w:r>
        <w:rPr>
          <w:rFonts w:cs="Century Gothic"/>
          <w:sz w:val="24"/>
        </w:rPr>
        <w:t>Written communication (report writing; collation/analysis of information)</w:t>
      </w:r>
    </w:p>
    <w:p w:rsidR="00B903AC" w:rsidRDefault="008E1FFC">
      <w:pPr>
        <w:pStyle w:val="ListParagraph"/>
        <w:numPr>
          <w:ilvl w:val="0"/>
          <w:numId w:val="2"/>
        </w:numPr>
        <w:spacing w:line="360" w:lineRule="auto"/>
        <w:rPr>
          <w:rFonts w:cs="Century Gothic"/>
          <w:sz w:val="24"/>
        </w:rPr>
      </w:pPr>
      <w:r>
        <w:rPr>
          <w:rFonts w:cs="Century Gothic"/>
          <w:sz w:val="24"/>
        </w:rPr>
        <w:t>IT (database management and full Microsoft Office Suite)</w:t>
      </w:r>
    </w:p>
    <w:p w:rsidR="00B903AC" w:rsidRDefault="008E1FFC">
      <w:pPr>
        <w:numPr>
          <w:ilvl w:val="0"/>
          <w:numId w:val="2"/>
        </w:numPr>
        <w:spacing w:line="360" w:lineRule="auto"/>
        <w:rPr>
          <w:rFonts w:cs="Century Gothic"/>
          <w:sz w:val="24"/>
        </w:rPr>
      </w:pPr>
      <w:r>
        <w:rPr>
          <w:rFonts w:cs="Century Gothic"/>
          <w:sz w:val="24"/>
        </w:rPr>
        <w:t>Organisational and administrative skills</w:t>
      </w:r>
    </w:p>
    <w:p w:rsidR="00B903AC" w:rsidRDefault="008E1FFC">
      <w:pPr>
        <w:numPr>
          <w:ilvl w:val="0"/>
          <w:numId w:val="2"/>
        </w:numPr>
        <w:spacing w:line="360" w:lineRule="auto"/>
        <w:rPr>
          <w:rFonts w:cs="Century Gothic"/>
          <w:sz w:val="24"/>
        </w:rPr>
      </w:pPr>
      <w:r>
        <w:rPr>
          <w:rFonts w:cs="Century Gothic"/>
          <w:sz w:val="24"/>
        </w:rPr>
        <w:t xml:space="preserve">Demonstrable understanding of and passion for music  </w:t>
      </w:r>
    </w:p>
    <w:p w:rsidR="00B903AC" w:rsidRDefault="008E1FFC">
      <w:pPr>
        <w:numPr>
          <w:ilvl w:val="0"/>
          <w:numId w:val="2"/>
        </w:numPr>
        <w:spacing w:line="360" w:lineRule="auto"/>
        <w:rPr>
          <w:rFonts w:cs="Century Gothic"/>
          <w:sz w:val="24"/>
        </w:rPr>
      </w:pPr>
      <w:r>
        <w:rPr>
          <w:rFonts w:cs="Century Gothic"/>
          <w:sz w:val="24"/>
        </w:rPr>
        <w:t>Ability to work under own initiative and as part of team</w:t>
      </w:r>
    </w:p>
    <w:p w:rsidR="00B903AC" w:rsidRDefault="008E1FFC">
      <w:pPr>
        <w:numPr>
          <w:ilvl w:val="0"/>
          <w:numId w:val="2"/>
        </w:numPr>
        <w:spacing w:line="360" w:lineRule="auto"/>
        <w:rPr>
          <w:rFonts w:cs="Century Gothic"/>
          <w:sz w:val="24"/>
        </w:rPr>
      </w:pPr>
      <w:r>
        <w:rPr>
          <w:rFonts w:cs="Century Gothic"/>
          <w:sz w:val="24"/>
        </w:rPr>
        <w:t>Demonstrable organisational skills and attention to detail</w:t>
      </w:r>
    </w:p>
    <w:p w:rsidR="00B903AC" w:rsidRDefault="00F27F82">
      <w:pPr>
        <w:numPr>
          <w:ilvl w:val="0"/>
          <w:numId w:val="2"/>
        </w:numPr>
        <w:spacing w:line="360" w:lineRule="auto"/>
        <w:rPr>
          <w:rFonts w:cs="Century Gothic"/>
          <w:sz w:val="24"/>
        </w:rPr>
      </w:pPr>
      <w:r>
        <w:rPr>
          <w:rFonts w:cs="Century Gothic"/>
          <w:sz w:val="24"/>
        </w:rPr>
        <w:t>C</w:t>
      </w:r>
      <w:r w:rsidR="008E1FFC">
        <w:rPr>
          <w:rFonts w:cs="Century Gothic"/>
          <w:sz w:val="24"/>
        </w:rPr>
        <w:t>ommi</w:t>
      </w:r>
      <w:r w:rsidR="00C51566">
        <w:rPr>
          <w:rFonts w:cs="Century Gothic"/>
          <w:sz w:val="24"/>
        </w:rPr>
        <w:t xml:space="preserve">tment to equality, </w:t>
      </w:r>
      <w:r w:rsidR="008E1FFC">
        <w:rPr>
          <w:rFonts w:cs="Century Gothic"/>
          <w:sz w:val="24"/>
        </w:rPr>
        <w:t xml:space="preserve">diversity </w:t>
      </w:r>
      <w:r w:rsidR="00C51566">
        <w:rPr>
          <w:rFonts w:cs="Century Gothic"/>
          <w:sz w:val="24"/>
        </w:rPr>
        <w:t>and community involvement</w:t>
      </w:r>
    </w:p>
    <w:p w:rsidR="00B903AC" w:rsidRDefault="00B903AC">
      <w:pPr>
        <w:rPr>
          <w:rFonts w:cs="Century Gothic"/>
          <w:sz w:val="24"/>
        </w:rPr>
      </w:pPr>
    </w:p>
    <w:p w:rsidR="00B903AC" w:rsidRDefault="008E1FFC">
      <w:pPr>
        <w:jc w:val="center"/>
        <w:rPr>
          <w:rFonts w:cs="Century Gothic"/>
          <w:b/>
          <w:sz w:val="24"/>
        </w:rPr>
      </w:pPr>
      <w:r>
        <w:rPr>
          <w:rFonts w:cs="Century Gothic"/>
          <w:b/>
          <w:sz w:val="24"/>
        </w:rPr>
        <w:t>Health and Safety</w:t>
      </w:r>
    </w:p>
    <w:p w:rsidR="00B903AC" w:rsidRDefault="008E1FFC">
      <w:pPr>
        <w:jc w:val="both"/>
        <w:rPr>
          <w:rFonts w:cs="Century Gothic"/>
          <w:sz w:val="24"/>
        </w:rPr>
      </w:pPr>
      <w:r>
        <w:rPr>
          <w:rFonts w:cs="Century Gothic"/>
          <w:sz w:val="24"/>
        </w:rPr>
        <w:t xml:space="preserve">To operate safely within the workplace with regard to the health and safety policies, procedures and safe working practices of </w:t>
      </w:r>
      <w:proofErr w:type="gramStart"/>
      <w:r>
        <w:rPr>
          <w:rFonts w:cs="Century Gothic"/>
          <w:sz w:val="24"/>
        </w:rPr>
        <w:t>Inner City</w:t>
      </w:r>
      <w:proofErr w:type="gramEnd"/>
      <w:r>
        <w:rPr>
          <w:rFonts w:cs="Century Gothic"/>
          <w:sz w:val="24"/>
        </w:rPr>
        <w:t xml:space="preserve"> Music</w:t>
      </w:r>
      <w:r w:rsidR="00C51566">
        <w:rPr>
          <w:rFonts w:cs="Century Gothic"/>
          <w:sz w:val="24"/>
        </w:rPr>
        <w:t xml:space="preserve"> Ltd</w:t>
      </w:r>
      <w:r>
        <w:rPr>
          <w:rFonts w:cs="Century Gothic"/>
          <w:sz w:val="24"/>
        </w:rPr>
        <w:t>.</w:t>
      </w:r>
    </w:p>
    <w:p w:rsidR="00B903AC" w:rsidRDefault="00B903AC">
      <w:pPr>
        <w:jc w:val="both"/>
        <w:rPr>
          <w:rFonts w:cs="Century Gothic"/>
          <w:sz w:val="24"/>
        </w:rPr>
      </w:pPr>
    </w:p>
    <w:p w:rsidR="00B903AC" w:rsidRDefault="008E1FFC">
      <w:pPr>
        <w:jc w:val="center"/>
        <w:rPr>
          <w:rFonts w:cs="Century Gothic"/>
          <w:b/>
          <w:sz w:val="24"/>
        </w:rPr>
      </w:pPr>
      <w:r>
        <w:rPr>
          <w:rFonts w:cs="Century Gothic"/>
          <w:b/>
          <w:sz w:val="24"/>
        </w:rPr>
        <w:t>Confidentiality</w:t>
      </w:r>
    </w:p>
    <w:p w:rsidR="00B903AC" w:rsidRDefault="00C51566">
      <w:pPr>
        <w:jc w:val="both"/>
        <w:rPr>
          <w:rFonts w:cs="Century Gothic"/>
          <w:sz w:val="24"/>
        </w:rPr>
      </w:pPr>
      <w:r>
        <w:rPr>
          <w:rFonts w:cs="Century Gothic"/>
          <w:sz w:val="24"/>
        </w:rPr>
        <w:t>To adhere to policies and p</w:t>
      </w:r>
      <w:r w:rsidR="008E1FFC">
        <w:rPr>
          <w:rFonts w:cs="Century Gothic"/>
          <w:sz w:val="24"/>
        </w:rPr>
        <w:t>rocedures on confidentiality and the management and sharing of information.</w:t>
      </w:r>
    </w:p>
    <w:p w:rsidR="00C51566" w:rsidRDefault="00C51566">
      <w:pPr>
        <w:jc w:val="both"/>
        <w:rPr>
          <w:rFonts w:cs="Century Gothic"/>
          <w:sz w:val="24"/>
        </w:rPr>
      </w:pPr>
    </w:p>
    <w:p w:rsidR="00B903AC" w:rsidRDefault="008E1FFC">
      <w:pPr>
        <w:jc w:val="center"/>
        <w:rPr>
          <w:rFonts w:cs="Century Gothic"/>
          <w:b/>
          <w:sz w:val="24"/>
        </w:rPr>
      </w:pPr>
      <w:r>
        <w:rPr>
          <w:rFonts w:cs="Century Gothic"/>
          <w:b/>
          <w:sz w:val="24"/>
        </w:rPr>
        <w:t>Equal Opportunities</w:t>
      </w:r>
    </w:p>
    <w:p w:rsidR="00B903AC" w:rsidRDefault="00C51566">
      <w:pPr>
        <w:jc w:val="both"/>
        <w:rPr>
          <w:rFonts w:cs="Century Gothic"/>
          <w:sz w:val="24"/>
        </w:rPr>
      </w:pPr>
      <w:r>
        <w:rPr>
          <w:rFonts w:cs="Century Gothic"/>
          <w:sz w:val="24"/>
        </w:rPr>
        <w:t>To activ</w:t>
      </w:r>
      <w:r w:rsidR="00665E85">
        <w:rPr>
          <w:rFonts w:cs="Century Gothic"/>
          <w:sz w:val="24"/>
        </w:rPr>
        <w:t xml:space="preserve">ely promote our </w:t>
      </w:r>
      <w:r w:rsidR="008E1FFC">
        <w:rPr>
          <w:rFonts w:cs="Century Gothic"/>
          <w:sz w:val="24"/>
        </w:rPr>
        <w:t>Equal Opportunity Policy. To help promote a working environment where all employees and volunteers are valued as individuals and are encouraged to fulfil their potential.</w:t>
      </w:r>
    </w:p>
    <w:p w:rsidR="00B903AC" w:rsidRDefault="00B903AC">
      <w:pPr>
        <w:jc w:val="both"/>
        <w:rPr>
          <w:rFonts w:cs="Century Gothic"/>
          <w:sz w:val="24"/>
        </w:rPr>
      </w:pPr>
    </w:p>
    <w:p w:rsidR="00B903AC" w:rsidRDefault="00B903AC">
      <w:pPr>
        <w:rPr>
          <w:b/>
          <w:sz w:val="24"/>
        </w:rPr>
      </w:pPr>
    </w:p>
    <w:sectPr w:rsidR="00B903A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Univers">
    <w:altName w:val="Arial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82CBD"/>
    <w:multiLevelType w:val="multilevel"/>
    <w:tmpl w:val="13182CB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0273E"/>
    <w:multiLevelType w:val="multilevel"/>
    <w:tmpl w:val="1B90273E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D5FDC"/>
    <w:multiLevelType w:val="hybridMultilevel"/>
    <w:tmpl w:val="FA5EB010"/>
    <w:lvl w:ilvl="0" w:tplc="A9E65DB8">
      <w:numFmt w:val="bullet"/>
      <w:lvlText w:val="-"/>
      <w:lvlJc w:val="left"/>
      <w:pPr>
        <w:ind w:left="720" w:hanging="360"/>
      </w:pPr>
      <w:rPr>
        <w:rFonts w:ascii="Univers" w:eastAsiaTheme="minorHAnsi" w:hAnsi="Univ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75983"/>
    <w:multiLevelType w:val="hybridMultilevel"/>
    <w:tmpl w:val="3DC65348"/>
    <w:lvl w:ilvl="0" w:tplc="68D641E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proofState w:spelling="clean" w:grammar="clean"/>
  <w:defaultTabStop w:val="720"/>
  <w:doNotUseMarginsForDrawingGridOrigin/>
  <w:drawingGridHorizontalOrigin w:val="1800"/>
  <w:drawingGridVerticalOrigin w:val="1440"/>
  <w:noPunctuationKerning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C0"/>
    <w:rsid w:val="000761B1"/>
    <w:rsid w:val="00085562"/>
    <w:rsid w:val="00103518"/>
    <w:rsid w:val="001563E4"/>
    <w:rsid w:val="001B2345"/>
    <w:rsid w:val="001C1B4D"/>
    <w:rsid w:val="001E6974"/>
    <w:rsid w:val="00207E53"/>
    <w:rsid w:val="00221B52"/>
    <w:rsid w:val="00236199"/>
    <w:rsid w:val="00270B92"/>
    <w:rsid w:val="002E6CD2"/>
    <w:rsid w:val="002F6358"/>
    <w:rsid w:val="00325680"/>
    <w:rsid w:val="003521D4"/>
    <w:rsid w:val="003A0AE8"/>
    <w:rsid w:val="00410A2D"/>
    <w:rsid w:val="004E01E8"/>
    <w:rsid w:val="00501991"/>
    <w:rsid w:val="00517B42"/>
    <w:rsid w:val="00524E8E"/>
    <w:rsid w:val="006047E0"/>
    <w:rsid w:val="00624BCC"/>
    <w:rsid w:val="00665E85"/>
    <w:rsid w:val="006F2DA2"/>
    <w:rsid w:val="007108BB"/>
    <w:rsid w:val="007E0B44"/>
    <w:rsid w:val="007F002C"/>
    <w:rsid w:val="00814785"/>
    <w:rsid w:val="00881962"/>
    <w:rsid w:val="008E1FFC"/>
    <w:rsid w:val="008F6B6E"/>
    <w:rsid w:val="009415C9"/>
    <w:rsid w:val="009C6BA6"/>
    <w:rsid w:val="009D7907"/>
    <w:rsid w:val="009E1B15"/>
    <w:rsid w:val="00A45280"/>
    <w:rsid w:val="00AC7B7F"/>
    <w:rsid w:val="00AE7BD6"/>
    <w:rsid w:val="00B000C0"/>
    <w:rsid w:val="00B56509"/>
    <w:rsid w:val="00B8401B"/>
    <w:rsid w:val="00B903AC"/>
    <w:rsid w:val="00BC2DCB"/>
    <w:rsid w:val="00BD2A2D"/>
    <w:rsid w:val="00C16515"/>
    <w:rsid w:val="00C214C5"/>
    <w:rsid w:val="00C35A4D"/>
    <w:rsid w:val="00C51566"/>
    <w:rsid w:val="00C8291D"/>
    <w:rsid w:val="00CD30F8"/>
    <w:rsid w:val="00D657A2"/>
    <w:rsid w:val="00D93EB4"/>
    <w:rsid w:val="00E004BB"/>
    <w:rsid w:val="00E0776D"/>
    <w:rsid w:val="00E615C0"/>
    <w:rsid w:val="00F27F82"/>
    <w:rsid w:val="00F46A25"/>
    <w:rsid w:val="00F81CEF"/>
    <w:rsid w:val="00F95BCB"/>
    <w:rsid w:val="00FF708D"/>
    <w:rsid w:val="1E8C20D6"/>
    <w:rsid w:val="3812516C"/>
    <w:rsid w:val="48293F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0A45DD74"/>
  <w15:docId w15:val="{6AB35C35-66CD-8B40-A049-7DB4D460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Times New Roman" w:hAnsi="Century Gothic"/>
      <w:sz w:val="18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7E0"/>
    <w:rPr>
      <w:rFonts w:ascii="Times New Roman" w:hAnsi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E0"/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Tasks</vt:lpstr>
    </vt:vector>
  </TitlesOfParts>
  <Company>Inner City Music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Tasks</dc:title>
  <dc:creator>ian croal</dc:creator>
  <cp:lastModifiedBy>Sally Cook</cp:lastModifiedBy>
  <cp:revision>4</cp:revision>
  <cp:lastPrinted>2011-11-02T16:45:00Z</cp:lastPrinted>
  <dcterms:created xsi:type="dcterms:W3CDTF">2019-05-10T08:45:00Z</dcterms:created>
  <dcterms:modified xsi:type="dcterms:W3CDTF">2019-05-14T08:47:00Z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